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4458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ПЪТИЩАТА</w:t>
      </w:r>
    </w:p>
    <w:p w:rsidR="00000000" w:rsidRDefault="00BB4458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01.09.1999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</w:p>
    <w:p w:rsidR="00000000" w:rsidRDefault="00BB4458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Отразена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деноминацията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05.07.1999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BB4458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lastRenderedPageBreak/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.14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2023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наднормен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разпознавани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внимателен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предпазлив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уязвимите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внезапно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маркировката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регулировчика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регулировчика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самобалансиращи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упълномощените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светофари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кировка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разпознават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полицейска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регулировчика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ръцете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вдигната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ртикално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ВНИМАНИЕ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!";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регулировчика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ръцете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регулировчика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регулировчика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регулировчика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разбираеми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полукръг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стеснени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немигащи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жълт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немигащи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немигащи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немигащи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фериботи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времетраенето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нерелсовите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пътя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km/h;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недвуколесните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мотопеди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двупосочно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заобикаляне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заобикаляне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заобикаляне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бавнодвижещо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заобикаляне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бавнодвижещи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дистанция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скоростта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релефа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km/h: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9070" w:type="dxa"/>
        <w:tblInd w:w="2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9"/>
        <w:gridCol w:w="1559"/>
        <w:gridCol w:w="1700"/>
        <w:gridCol w:w="1843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превозно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Населено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Извън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населено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Автомагистрала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Скоростен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 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+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+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 D+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Самоходни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машини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BB445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</w:tbl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избегне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двулентовите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двупосочни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Маневри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заобиколи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излезе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островът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двупосочно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подавани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пътепоказател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лакътя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нагоре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нагоре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навлязат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нагоре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!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проблясваща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жълта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проблясваща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авиване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наляво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радиусът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радиуса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двупосочно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навлезе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двупосочно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навлезе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бензиностанция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бензиностанция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Завиване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назад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Изпреварване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насрещното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какъвто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мотопеди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снеговалеж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равнозначни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безпрепятствено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заобикалянето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Разминаване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стеснение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спускащото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изкачващото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изкачващото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съчленените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автобуса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спускащото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изкачващото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кръстовище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равнозначни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обстановката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прелез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внимание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вдигат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бариерите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бариерите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обсега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забелязващ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ярък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скоростен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Автомобилен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km/h.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гъвкава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демонстрации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триъгълник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изтегляне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втомагистралата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гъвкава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триъгълник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изтегляне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гъвкава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57,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зона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ненужно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km/h,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тунел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Спирки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пътници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потеглящо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тролейбусна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автобусна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потеглянето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неподвижно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Използване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светлините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габаритни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насрещният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жълти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жълта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симетрично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бутана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жълта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жълти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габаритни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снеговалеж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предупреждаване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мотопедите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габаритна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заслепяване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XVIII.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звънец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жълта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жълта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жълти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km/h;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9 -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13 -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km/h;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успоредно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двуколесно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кормилото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тласка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шестнадесет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km/h;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четиринадесет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двуколесно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успоредно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двуколесно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кормилото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педалите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държи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тласка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тренировка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гъвкава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km/h,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- 70 km/h.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тегличът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кормилна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гъвкава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гъвк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кормилна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триъгълник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обратното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гъвкава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хлъзгав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състезания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проблясваща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24.06.2011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военнополицейските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издирвателна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опознавателни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нечий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избегне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сблъскване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успоредно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успоредно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успоредно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еднопосоч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недвуколесно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недвуколесно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триъгълник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забелязано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триъгълник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заобикалящите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 km/h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триъгълник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габаритни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пожарогасителни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конуси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стеснени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бавнодвижещи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театри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98/376/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средства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маневри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стъклата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безпрепятствено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27.05.2002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ръцете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нерегламентирани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състезания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стъкла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стъкла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челнот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стъклата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стъклата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бензиностанции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XXI.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пешеходците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инвалидна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мотопед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задвижвани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мускулна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противоположно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тласкане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инвалидна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бутащи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мотопед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военнослужещи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вървящите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!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!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навлязат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ненужно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регулировчика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парапети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двулентовите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двупосочни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изчакват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XXII.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пешеходците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внимателен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предпазлив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бастун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глухите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бастун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престарелите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!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изчакат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заобикаляне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съпричинител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нерелсово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камъни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изцапване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122.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потеглящ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опознавателен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XXIII.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произшествие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пострадали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пострадалите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пострадалите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фиксиране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напитки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двустранен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пристигне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пострадалите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пострадали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задръстване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разпилял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пострадалите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XXIV.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товари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стойчивостта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управляемостта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опознавателните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блестят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заслепяване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етикетират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спогодба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шосе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(ADR)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km/h,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- 50 km/h,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- 90 km/h.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вододайна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извънгабаритно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товароносимостта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потегляне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автобуса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тролейбуса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опознавателен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автобусна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мотопед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шасита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каросерията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кошове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каросерията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затварянето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наранят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XXV.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Обезопасителни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колани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M1,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M2, M3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N1, N2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апарат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адаптирани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0+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36 kg.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подразделят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гъвкави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ключалка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M1, N1, N2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сантиметра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M1, N1, N2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M1, N1, N2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сантиметра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сантиметра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обърната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възглавница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възглавницата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деактивирана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пиктограма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мотопеди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СРЕДСТВА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сменяемата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прикачна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(VIN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некомплектувано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некомплектувано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(OB, L 60/52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гулаторни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Оценъчният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оценъчния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итиралия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едноседмичен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опознавателни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mm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триъгълник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аптечка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пожарогасител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опознавателни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бронираната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влекачите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откраднато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highlight w:val="white"/>
          <w:shd w:val="clear" w:color="auto" w:fill="FEFEFE"/>
        </w:rPr>
        <w:t>Моторни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превозни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средства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категория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М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2, </w:t>
      </w:r>
      <w:r>
        <w:rPr>
          <w:rFonts w:eastAsia="Times New Roman"/>
          <w:color w:val="FF0000"/>
          <w:highlight w:val="white"/>
          <w:shd w:val="clear" w:color="auto" w:fill="FEFEFE"/>
        </w:rPr>
        <w:t>М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3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N3, </w:t>
      </w:r>
      <w:r>
        <w:rPr>
          <w:rFonts w:eastAsia="Times New Roman"/>
          <w:color w:val="FF0000"/>
          <w:highlight w:val="white"/>
          <w:shd w:val="clear" w:color="auto" w:fill="FEFEFE"/>
        </w:rPr>
        <w:t>както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превозни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средства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със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специално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предназначение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изключение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къмпинг</w:t>
      </w:r>
      <w:r>
        <w:rPr>
          <w:rFonts w:eastAsia="Times New Roman"/>
          <w:color w:val="FF0000"/>
          <w:highlight w:val="white"/>
          <w:shd w:val="clear" w:color="auto" w:fill="FEFEFE"/>
        </w:rPr>
        <w:t>-</w:t>
      </w:r>
      <w:r>
        <w:rPr>
          <w:rFonts w:eastAsia="Times New Roman"/>
          <w:color w:val="FF0000"/>
          <w:highlight w:val="white"/>
          <w:shd w:val="clear" w:color="auto" w:fill="FEFEFE"/>
        </w:rPr>
        <w:t>автомобили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къмпинг</w:t>
      </w:r>
      <w:r>
        <w:rPr>
          <w:rFonts w:eastAsia="Times New Roman"/>
          <w:color w:val="FF0000"/>
          <w:highlight w:val="white"/>
          <w:shd w:val="clear" w:color="auto" w:fill="FEFEFE"/>
        </w:rPr>
        <w:t>-</w:t>
      </w:r>
      <w:r>
        <w:rPr>
          <w:rFonts w:eastAsia="Times New Roman"/>
          <w:color w:val="FF0000"/>
          <w:highlight w:val="white"/>
          <w:shd w:val="clear" w:color="auto" w:fill="FEFEFE"/>
        </w:rPr>
        <w:t>ремаркета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бронирани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автомобили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превозни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средства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достъпни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инвалидни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колички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регистрират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само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юридическо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лице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едноличен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търговец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физическо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лице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регистрирано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като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земеделски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стопанин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реда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Закона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подпомагане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земеделските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производители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подправянето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нтификационния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автентичният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конфискувано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146;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разкомплектуване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разкомплектуване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разкомплектуване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манипулацията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километропоказателя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километропоказателя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километропоказател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километропоказател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12.11.2020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товароносимост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 cm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тотална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приобретател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атракционна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ненадвишаваща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km/h,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ненадвишаваща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km/h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къмпинг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къмпинг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тролейбусите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мотриси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N2, N3, O2, O3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къмпинг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L3, L3e, L4, L4e, L5, L5e, L7, L7e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L1, L1e, L2, L2e, L6, L6e;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къмпинг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O2, O3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km/h,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атракционна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8.11.2005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агрегатите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шумозаглушителните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20.10.2006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аксиметрови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автобусите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километропоказателя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неистински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манипулирани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пломбата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ненадвишаваща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km/h,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17.10.2010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неистински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17.10.2010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17.10.2010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откраднат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едоставил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паролата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некоректни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147;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3 - 10.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17.10.2010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17.10.2010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17.10.2010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17.10.2010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неистински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безпристрастно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багаж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t;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t;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t;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t,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t;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t;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0,75 t;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0,75 t,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t;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t,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t;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t;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G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автобусите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СРЕДСТВА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откраднато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мотопеди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km/h,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km/h,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L6e);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125 cm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kW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0,1 kW/kg;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kW;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kW,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0,2 kW/kg,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удвоената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kW: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e)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L4e),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cm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km/h,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симетрично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L5e),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цилиндъра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cm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km/h,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L6e)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kg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L7e) (550 kg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акумулаторните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kW,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L5e,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3500 kg,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плюс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kg;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kg,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4250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3500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3500 kg,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7500 kg,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плюс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влекач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kg,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3500 kg,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3500 kg,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плюс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750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плюс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непревишаваща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m;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прикачва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D1E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D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плюс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прикачва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DE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kg;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мотриси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шестнадесет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осемнадесет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kW;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седемнадес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осемнадесет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осемнадесет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мотриса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осемнадесет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X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долекарска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издържало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19.01.20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D1, D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мотриса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обичайното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предучилищното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151.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D,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D1,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мотриса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15.09.2009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теоретично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гимназии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паралелки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неистински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166.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гимназии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паралелки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усъвършенстване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познанията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15.09.2009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долекарска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15.09.2009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усъвършенстване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диагностично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14.12.2010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неистински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неистински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итежателя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дидатстват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издържали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Ттб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+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D+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1+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+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D1+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D1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kg,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3500 kg,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4250 kg,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издържали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тролейбус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тролейбус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малогабаритни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1/3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откраднат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Северноатлантическия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IV,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обичайното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обичайното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откраднато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обичайното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откраднатото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откраднатото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завръщането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сферата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наръчници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помагала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пострадали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пострадалите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диагнози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пострадали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внезапно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аудиозапис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видеозаснемане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видеозаснемане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издишания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дихателни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01.05.2019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(*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148;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10.06.2006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изтегляне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765/2008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339/93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218/30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XII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изтегляне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изложат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сериозен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10.06.2006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удовлетворителни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10.06.2006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алармените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16.10.2009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габаритните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пристигнало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усъвършенстване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полукръг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!";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изображения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динамични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изображ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видеозаписи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изображения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динамични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изображения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видеозаписи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невръчени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24.06.2011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военнослужещ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полукръг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Униформен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безпрепятствен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излезе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внедряват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жертвите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15.09.2009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УДИТЕЛНИ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издишания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токсикологично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токсикологично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незнание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немаловажно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highlight w:val="white"/>
          <w:shd w:val="clear" w:color="auto" w:fill="FEFEFE"/>
        </w:rPr>
        <w:t>който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управлява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моторно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превозно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средство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наложено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наказание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глоба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незаплатена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срока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доброволно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заплащане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- </w:t>
      </w:r>
      <w:r>
        <w:rPr>
          <w:rFonts w:eastAsia="Times New Roman"/>
          <w:color w:val="FF0000"/>
          <w:highlight w:val="white"/>
          <w:shd w:val="clear" w:color="auto" w:fill="FEFEFE"/>
        </w:rPr>
        <w:t>до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заплащане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дължимата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глоба</w:t>
      </w:r>
      <w:r>
        <w:rPr>
          <w:rFonts w:eastAsia="Times New Roman"/>
          <w:color w:val="FF0000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изгорелите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опознавателни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шумозаглушители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собственик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който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управлява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моторно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превозно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средство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наложено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наказание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глоба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незаплатена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срока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доброволно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заплащане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- </w:t>
      </w:r>
      <w:r>
        <w:rPr>
          <w:rFonts w:eastAsia="Times New Roman"/>
          <w:color w:val="FF0000"/>
          <w:highlight w:val="white"/>
          <w:shd w:val="clear" w:color="auto" w:fill="FEFEFE"/>
        </w:rPr>
        <w:t>до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заплащане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дължимата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глоба</w:t>
      </w:r>
      <w:r>
        <w:rPr>
          <w:rFonts w:eastAsia="Times New Roman"/>
          <w:color w:val="FF0000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нерегламентирани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състезания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токсикологично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шасито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неподвижен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неподвижен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1, 2,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токсикологично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некачествена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токсикологично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10.06.2006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10.06.2006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изтеглянето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ОТГОВОРНОСТ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издишвания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токсикологично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какъвто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осуети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нерегламентирани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състезания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откраднато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откраднато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плакати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вниманието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наподобяват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заслепяват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манифестация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състезание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неукрепен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петстотин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товара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петстотин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манипулира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километропоказателя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агрегатите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манипулира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откраднат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километропоказателя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пломбата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теоретичните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видеонаблюдението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теоретичните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D,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Ттб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теоретичното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теоретично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теоретичното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теоретичните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4.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познавателната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сфера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личностов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познавателната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сфера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личностов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манипулира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(OB, L 171/1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задвижвани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(OB, L 35/32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79/2009";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595/2009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80/1269/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2005/55/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2005/78/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(OB, L 188/1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595/2009";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2015/758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eCall,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123/77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2015/758",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уяз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2003/102/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2005/66/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(OB, L 35/1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78/2009";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79/2009;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595/2009;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661/2009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(OB, L 200/1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/2013;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2015/758,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78/2009;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79/2009;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595/2009;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661/2009;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2015/758,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78/2009;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79/2009;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2009;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168/2013,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заобикаляне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безпрепятс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несъобразена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нечетлив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какъвто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впоследствие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3,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3,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23,59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ивнонаказателни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петстотин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приобретателя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приобретателя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местоживеене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алармена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наподобяват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смущаващо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законоустановеното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km/h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km/h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km/h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km/h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km/h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m/h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km/h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!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!",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изпреварване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светлоотразителни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износени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разкъсани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ръцете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ъстовище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V;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нечетлив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какъвто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впрегатни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ездитни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парапети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регулировчика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английски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непосоч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съзнателно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фишове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видеозаписи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алкохол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кръвта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наркотични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ръцете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устан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окомплектоват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двуседмичен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13 - 16.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разкомплектоване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15.09.2009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недвуколесни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"BUS"-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неукрепен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недвуколесно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безрелсово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тролейбусите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томобилите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автобуси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M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конфигурация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двуколесно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cm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kg,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двуколесните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cm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km/h.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Мотопед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триколесно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cm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km/h.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шасита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мотокарите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верижните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верижните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малогабаритна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усилие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kg,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km/h,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900 mm,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900 kg.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прикачва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km/h,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R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ненадвишаваща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540 mm,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R,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ненадвишаваща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mm,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kg.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инвалидните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Самобалансиращо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успоредно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задвижвано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km/h,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нестабилно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равновесие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равновесие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мускулната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инвалидните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Извънгабаритно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Бавнодвижещо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km/h.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бавнодвижещите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km/h.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впрегатни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ездитни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27.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пострадал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допринесъл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Маловажно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обстановка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преодоляване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задвижващи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блокиране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иференциала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долекарска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животоподдържащи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усложненията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травми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VIN-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Обичайно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обвързаност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обичайно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университет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обичайно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ключалка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сблъскване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внезапно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гъвкави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ключалка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Охраняем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охраняемост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Съчленено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54.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запрашеност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задименост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стръмнини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Тахограф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полуавтоматичен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изпъкнала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вдлъбната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комендантски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подразделения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подразделения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войскови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стационарни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78/2009;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79/2009;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595/2009,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661/2009,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Спогодбата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2015/758.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задвижвано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инциденти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всестранен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адекватни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спасителна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Уязвими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немоторизираните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1999/37/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127/129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cm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шасита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шасито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15.09.2009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ратифицираните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пострадалите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27.05.2002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170.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приобретателя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-------------------------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ХХХ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VIII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ПЪТИЩАТА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подразделение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местоживеене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АВТОМОБИЛНИТЕ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18.11.2005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ПОТРЕБИТЕЛИТЕ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10.06.2006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ЗАСТРАХОВАНЕТО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112 - 116,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127, 137, 139 - 149,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седемнадесета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/166/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284- 286,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2000/26/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73/239/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88/357/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произнесъл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§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70,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92, 99, 102,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 . . . . . . . . . . . . . . . 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15, §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§ 78, § 79, §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107, §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125, § 128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34,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АВТОМОБИЛНИТЕ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20.10.20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70,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92, 99, 102,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34, 61, 64, 80, 82,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51, 53,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СПЕШНИ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ПОВИКВАНИЯ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112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70,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92, 99, 102,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30,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4, 61, 64, 80, 82, 85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51, 53,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43,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15.09.2009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70,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34, 61, 64, 80, 82,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51, 53,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43, 69,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младежта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младежта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16.10.2009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70,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92, 99, 102,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34, 61, 64, 80, 82,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51, 53,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43, 69,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2,21, 36, 39, 41, 44, 45, 49, 50, 51, 53, 55, 56, 57, 59, 62, 63, 64, 65,70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"km/h", "kg",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cm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"t", "km/h"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"mm".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(OB, L 263/1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2007);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2002/24/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92/61/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2006/126/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6,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Ттб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ачителен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1, 16, 20, 29, 30, 32, 33,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34, 35, 42, 44, §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65, 68, 70, 76, 80, 81, 90, 92, 96, §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4, 5,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§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§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4,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10, 11,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109, 110, 112, 113, §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§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§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§ 37, §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ПОДПИС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ВОЕННАТА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ПОЛИЦИЯ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24.06.2011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ОТПАДЪЦИТЕ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18, § 114, §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120, § 121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МЛАДЕЖТА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70,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92, 99, 102,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34, 61, 64, 80, 82,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51, 53,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36, 43, 69, 88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75,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19,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53, 54,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младежта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младежта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ХИМИЧЕСКОТО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ТОКСИЧНИТЕ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ХИМИЧЕСКИ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ПРЕКУРСОРИ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70,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92, 99, 102,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34, 61, 64, 80, 82,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51, 53,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43, 69,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75,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19,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47, 53,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2014/37/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91/671/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59/32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2015/413/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(OB, L 68/9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BB445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изчерпателен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ПРЕДУЧИЛИЩНОТО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УЧИЛИЩНОТО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I,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АКЦИЗИТЕ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ТЕХНИКА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ЗАСТРАХОВАНЕТО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ежеседмично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5 - 7.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ПОРЪЧКИ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ЕЕДОП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ЕЛЕКТРОННОТО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6 - 8,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13, § 14, § 18 - 20, § 23, § 26 - 31, §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33 - 39, § 41 - 48, §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50 - 59, § 61 - 65, § 81 - 85, §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§ 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92, §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97 - 101,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69 - 72, §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70, §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70, §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70, §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22, § 73 - 75, §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75, § 77, §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73, §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73, §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§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70,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92, 99, 102,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34, 61, 64, 80, 82,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22, 51, 53,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43, 69,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75,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19,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53, 54,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19, 37, 79, 92, 95,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50, 81, 86,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X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71,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94,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68,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6, 11, 12, 14, §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40, 41,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2014/45/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2009/40/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127/51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2014/47/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2000/30/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127/134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BB445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§ 2, § 4, § 5, §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4 - 8, §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13, § 14, §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2 - 4, §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20, § 21, § 22, §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РЕГУЛИРАН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НЕФТ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НЕФТЕН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§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втечнен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нефтен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(LPG),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4, 11, 14, 16, 20, 30, 31, 74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3, 5, 6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§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ПОРЪЧКИ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95, 97, 98, 100, 102, 136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22, §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41, §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47, 51, 52, 53, §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127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§ 12, §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16, 17, 18, 20, 21, §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1 - 4, 8,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4 - 11, §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§ 25, §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65, 67, 68, §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70, 73, 76, §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84, 85, §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88, 90, §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94, 99, §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§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УВРЕЖДАНИЯ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НЕФТ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НЕФТЕН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2, §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АВТОМОБИЛНИТЕ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моторни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превозни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средства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категория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М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2, </w:t>
      </w:r>
      <w:r>
        <w:rPr>
          <w:rFonts w:eastAsia="Times New Roman"/>
          <w:color w:val="FF0000"/>
          <w:highlight w:val="white"/>
          <w:shd w:val="clear" w:color="auto" w:fill="FEFEFE"/>
        </w:rPr>
        <w:t>М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3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N3, </w:t>
      </w:r>
      <w:r>
        <w:rPr>
          <w:rFonts w:eastAsia="Times New Roman"/>
          <w:color w:val="FF0000"/>
          <w:highlight w:val="white"/>
          <w:shd w:val="clear" w:color="auto" w:fill="FEFEFE"/>
        </w:rPr>
        <w:t>както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специални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превозни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средства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изключение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къмпинг</w:t>
      </w:r>
      <w:r>
        <w:rPr>
          <w:rFonts w:eastAsia="Times New Roman"/>
          <w:color w:val="FF0000"/>
          <w:highlight w:val="white"/>
          <w:shd w:val="clear" w:color="auto" w:fill="FEFEFE"/>
        </w:rPr>
        <w:t>-</w:t>
      </w:r>
      <w:r>
        <w:rPr>
          <w:rFonts w:eastAsia="Times New Roman"/>
          <w:color w:val="FF0000"/>
          <w:highlight w:val="white"/>
          <w:shd w:val="clear" w:color="auto" w:fill="FEFEFE"/>
        </w:rPr>
        <w:t>автомобилите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къмпинг</w:t>
      </w:r>
      <w:r>
        <w:rPr>
          <w:rFonts w:eastAsia="Times New Roman"/>
          <w:color w:val="FF0000"/>
          <w:highlight w:val="white"/>
          <w:shd w:val="clear" w:color="auto" w:fill="FEFEFE"/>
        </w:rPr>
        <w:t>-</w:t>
      </w:r>
      <w:r>
        <w:rPr>
          <w:rFonts w:eastAsia="Times New Roman"/>
          <w:color w:val="FF0000"/>
          <w:highlight w:val="white"/>
          <w:shd w:val="clear" w:color="auto" w:fill="FEFEFE"/>
        </w:rPr>
        <w:t>ремаркетата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бронирани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автомобили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превозни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средства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достъпни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инвалидн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колички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които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регистрирани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юридическо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лице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едноличен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търговец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физическо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лице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регистрирано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като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земеделски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стопанин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реда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Закона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подпомагане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земеделските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производители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служебно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прекратява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регистрацията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след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31 </w:t>
      </w:r>
      <w:r>
        <w:rPr>
          <w:rFonts w:eastAsia="Times New Roman"/>
          <w:color w:val="FF0000"/>
          <w:highlight w:val="white"/>
          <w:shd w:val="clear" w:color="auto" w:fill="FEFEFE"/>
        </w:rPr>
        <w:t>декември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20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21 </w:t>
      </w:r>
      <w:r>
        <w:rPr>
          <w:rFonts w:eastAsia="Times New Roman"/>
          <w:color w:val="FF0000"/>
          <w:highlight w:val="white"/>
          <w:shd w:val="clear" w:color="auto" w:fill="FEFEFE"/>
        </w:rPr>
        <w:t>г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таксиметров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8 - 14,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18, §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ДОБАВЕНАТА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СТОЙНОСТ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17, § 31, § 59 - 61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68, 69, § 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§ 88, 89,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1 - 9, § 11 - 13, §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15, 16, § 18 - 30, § 32, § 33 - 58, §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64 - 66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12,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23.12.2021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НАКАЗА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ПРОИЗВОДИТЕЛИ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70,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79, 92, 99, 102,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34, 61, 64, 80, 82,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51, 53,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43, 69,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75,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19,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53, 54, 60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19, 37, 79, 92, 95,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50, 81, 86,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11, 54, 58,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7, 17, 55, 59, 62, 77,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60, 69, 71,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07.08.2012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F597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noProof/>
          <w:lang w:val="en-US"/>
        </w:rPr>
        <w:drawing>
          <wp:inline distT="0" distB="0" distL="0" distR="0">
            <wp:extent cx="4362450" cy="6296025"/>
            <wp:effectExtent l="0" t="0" r="0" b="0"/>
            <wp:docPr id="1" name="Picture 1" descr="C:\Users\GeorgievaDa\AppData\Local\Ciela Norma AD\Ciela51\Cache\8a4032c2651eeaaf6373a8b0c0e4c44fde53f7ee479b87113dc601d39653e3de_normi2134649345\14151_362163988_dv2012_br060_str9_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evaDa\AppData\Local\Ciela Norma AD\Ciela51\Cache\8a4032c2651eeaaf6373a8b0c0e4c44fde53f7ee479b87113dc601d39653e3de_normi2134649345\14151_362163988_dv2012_br060_str9_k1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458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светлосин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тъмносин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ламинирани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инвалидна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оличка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тъмносин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серийния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шрифт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BG,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заобиколен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звезди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символизиращи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фамилията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Релевантни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законодателство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Директиви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2016/1106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2006/126/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2015/719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96/53/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трафик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2015/413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2014/47/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2000/30/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O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1999/37/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2014/45/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2009/40/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2014/37/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91/671/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2011/82/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C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2009/103/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2009/40/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2008/68/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2006/126/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2003/59/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3820/85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91/439/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76/914/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2002/24/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92/61/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2001/116/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адаптиране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70/156/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2000/53/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2000/30/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2000/26/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73/239/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88/357/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1999/37/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96/53/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трафик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96/35/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95/50/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94/55/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92/53/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70/156/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92/06/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91/671/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91/439/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89/459/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надълбочината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77/143/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76/914/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Регламенти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2018/858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595/2009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2017/1347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582/2011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2017/1151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692/2008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1230/2012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692/2008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2017/1154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2017/1151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692/2008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1230/2012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692/2008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2017/1151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692/2008,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1230/2012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692/2008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2015/758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eCall,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901/2014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165/2014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тахографите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3821/85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561/2006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хармонизиране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134/2014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44/2014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четириколесните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3/2014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168/2013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1230/2012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661/2009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582/2011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595/2009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1073/2009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автобусни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561/2006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1072/2009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661/2009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595/2009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80/1269/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2005/55/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2005/78/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задвижвани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уязвими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2003/102/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2005/66/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765/2008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339/93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692/2008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1370/2007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1191/69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1107/70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715/2007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12/98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3315/94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3118/93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3118/93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339/93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684/92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881/92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3912/92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шосейния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4058/89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3821/85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56/83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автобуси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(ASOR)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7/70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вътрешноводния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1191/69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вътрешноводния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Решения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93/704/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усъвършенстваните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(ECRS)</w:t>
      </w:r>
    </w:p>
    <w:p w:rsidR="00000000" w:rsidRDefault="00BB445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")</w:t>
      </w:r>
    </w:p>
    <w:p w:rsidR="00BB4458" w:rsidRDefault="00BB445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BB4458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7F"/>
    <w:rsid w:val="002F597F"/>
    <w:rsid w:val="00B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5CCC2E5-7681-4684-BA89-00CAEEF9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GeorgievaDa\AppData\Local\Ciela%20Norma%20AD\Ciela51\Cache\8a4032c2651eeaaf6373a8b0c0e4c44fde53f7ee479b87113dc601d39653e3de_normi2134649345\14151_362163988_dv2012_br060_str9_k1.gif" TargetMode="External"/><Relationship Id="rId4" Type="http://schemas.openxmlformats.org/officeDocument/2006/relationships/hyperlink" Target="https://www.sars.gov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150</Pages>
  <Words>71975</Words>
  <Characters>410260</Characters>
  <Application>Microsoft Office Word</Application>
  <DocSecurity>0</DocSecurity>
  <Lines>3418</Lines>
  <Paragraphs>962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2023-03-15T08:42:00Z</dcterms:created>
  <dcterms:modified xsi:type="dcterms:W3CDTF">2023-03-15T08:42:00Z</dcterms:modified>
</cp:coreProperties>
</file>